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D1" w:rsidRDefault="00F824EC" w:rsidP="00B56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EC">
        <w:rPr>
          <w:rFonts w:ascii="Times New Roman" w:hAnsi="Times New Roman" w:cs="Times New Roman"/>
          <w:b/>
          <w:sz w:val="24"/>
          <w:szCs w:val="24"/>
        </w:rPr>
        <w:t>NULLO IL PATTO SULL’ASSEGNO DI DIVORZIO</w:t>
      </w:r>
    </w:p>
    <w:p w:rsidR="00D32BD5" w:rsidRDefault="00F824EC" w:rsidP="00B56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Corte di Cassazione – sezione civile I – sentenza n. 2224 del 30 gennaio 2017 </w:t>
      </w:r>
    </w:p>
    <w:p w:rsidR="00B16982" w:rsidRDefault="00B16982" w:rsidP="00B56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BD5" w:rsidRDefault="00D32BD5" w:rsidP="00B56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sede di separazione, due coniugi avevano stipulato un accordo con il quale </w:t>
      </w:r>
      <w:r w:rsidR="006853A3">
        <w:rPr>
          <w:rFonts w:ascii="Times New Roman" w:hAnsi="Times New Roman" w:cs="Times New Roman"/>
          <w:sz w:val="24"/>
          <w:szCs w:val="24"/>
        </w:rPr>
        <w:t xml:space="preserve">pattuivano che, in vista di un eventuale futuro divorzio, </w:t>
      </w:r>
      <w:r>
        <w:rPr>
          <w:rFonts w:ascii="Times New Roman" w:hAnsi="Times New Roman" w:cs="Times New Roman"/>
          <w:sz w:val="24"/>
          <w:szCs w:val="24"/>
        </w:rPr>
        <w:t>il marito avrebbe do</w:t>
      </w:r>
      <w:r w:rsidR="006853A3">
        <w:rPr>
          <w:rFonts w:ascii="Times New Roman" w:hAnsi="Times New Roman" w:cs="Times New Roman"/>
          <w:sz w:val="24"/>
          <w:szCs w:val="24"/>
        </w:rPr>
        <w:t>vuto corrispondere alla moglie un assegno divorzile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3A3" w:rsidRDefault="00B16982" w:rsidP="00B16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Sulla validità </w:t>
      </w:r>
      <w:r w:rsidR="00240677">
        <w:rPr>
          <w:rFonts w:ascii="Times New Roman" w:hAnsi="Times New Roman" w:cs="Times New Roman"/>
          <w:sz w:val="24"/>
          <w:szCs w:val="24"/>
        </w:rPr>
        <w:t>di accordi di tale tipologia</w:t>
      </w:r>
      <w:r>
        <w:rPr>
          <w:rFonts w:ascii="Times New Roman" w:hAnsi="Times New Roman" w:cs="Times New Roman"/>
          <w:sz w:val="24"/>
          <w:szCs w:val="24"/>
        </w:rPr>
        <w:t xml:space="preserve"> si è pronunciata la Corte di Cassazione</w:t>
      </w:r>
      <w:r w:rsidR="002B1D0E">
        <w:rPr>
          <w:rFonts w:ascii="Times New Roman" w:hAnsi="Times New Roman" w:cs="Times New Roman"/>
          <w:sz w:val="24"/>
          <w:szCs w:val="24"/>
        </w:rPr>
        <w:t xml:space="preserve"> ritenendo che di tali accordi non si debba tener in alcun modo conto, tanto più ove limitino o addirittura escludano il diritto del coniuge economicamente più debole al conseguimento di quanto necessario per soddisfare le esigenze di vita.</w:t>
      </w:r>
      <w:r w:rsidR="00F8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7BE" w:rsidRDefault="00B16982" w:rsidP="00B56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Tali giudici, infatti, hanno chiarito che i </w:t>
      </w:r>
      <w:r w:rsidR="009747BE">
        <w:rPr>
          <w:rFonts w:ascii="Times New Roman" w:hAnsi="Times New Roman" w:cs="Times New Roman"/>
          <w:sz w:val="24"/>
          <w:szCs w:val="24"/>
        </w:rPr>
        <w:t>coniugi non avrebbero potuto ac</w:t>
      </w:r>
      <w:r w:rsidR="009747BE" w:rsidRPr="009747BE">
        <w:rPr>
          <w:rFonts w:ascii="Times New Roman" w:hAnsi="Times New Roman" w:cs="Times New Roman"/>
          <w:sz w:val="24"/>
          <w:szCs w:val="24"/>
        </w:rPr>
        <w:t xml:space="preserve">cordarsi, al momento della separazione, sull’importo che il marito </w:t>
      </w:r>
      <w:r w:rsidR="009747BE">
        <w:rPr>
          <w:rFonts w:ascii="Times New Roman" w:hAnsi="Times New Roman" w:cs="Times New Roman"/>
          <w:sz w:val="24"/>
          <w:szCs w:val="24"/>
        </w:rPr>
        <w:t>avrebbe dovuto</w:t>
      </w:r>
      <w:r w:rsidR="009747BE" w:rsidRPr="009747BE">
        <w:rPr>
          <w:rFonts w:ascii="Times New Roman" w:hAnsi="Times New Roman" w:cs="Times New Roman"/>
          <w:sz w:val="24"/>
          <w:szCs w:val="24"/>
        </w:rPr>
        <w:t xml:space="preserve"> versare alla moglie dopo il divorzio</w:t>
      </w:r>
      <w:r w:rsidR="00C94060">
        <w:rPr>
          <w:rFonts w:ascii="Times New Roman" w:hAnsi="Times New Roman" w:cs="Times New Roman"/>
          <w:sz w:val="24"/>
          <w:szCs w:val="24"/>
        </w:rPr>
        <w:t xml:space="preserve"> per due ragioni fondamentali.</w:t>
      </w:r>
    </w:p>
    <w:p w:rsidR="00B16982" w:rsidRDefault="00B16982" w:rsidP="00B16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primo luogo perché gli accordi volti a fissare </w:t>
      </w:r>
      <w:r>
        <w:rPr>
          <w:rFonts w:ascii="Times New Roman" w:hAnsi="Times New Roman" w:cs="Times New Roman"/>
          <w:sz w:val="24"/>
          <w:szCs w:val="24"/>
        </w:rPr>
        <w:t>il regime patrimoniale in vista di un eventuale futuro divorzio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potrebbe</w:t>
      </w:r>
      <w:r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 favorire il consenso del coniuge potenzialmente contrario al divorzio, il quale, allettato dalla corresponsione di una più o meno consistente somma di denaro a titolo di assegno divorzile, potrebbe decidere di non opporvisi.</w:t>
      </w:r>
    </w:p>
    <w:p w:rsidR="00240677" w:rsidRDefault="00B16982" w:rsidP="00B56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40677">
        <w:rPr>
          <w:rFonts w:ascii="Times New Roman" w:hAnsi="Times New Roman" w:cs="Times New Roman"/>
          <w:sz w:val="24"/>
          <w:szCs w:val="24"/>
        </w:rPr>
        <w:t>secondo luogo perché</w:t>
      </w:r>
      <w:r w:rsidR="00240677" w:rsidRPr="00240677">
        <w:rPr>
          <w:rFonts w:ascii="Times New Roman" w:hAnsi="Times New Roman" w:cs="Times New Roman"/>
          <w:sz w:val="24"/>
          <w:szCs w:val="24"/>
        </w:rPr>
        <w:t xml:space="preserve"> </w:t>
      </w:r>
      <w:r w:rsidR="00240677">
        <w:rPr>
          <w:rFonts w:ascii="Times New Roman" w:hAnsi="Times New Roman" w:cs="Times New Roman"/>
          <w:sz w:val="24"/>
          <w:szCs w:val="24"/>
        </w:rPr>
        <w:t>un accordo volto a regolare le condizioni economiche di uno dei due coniugi è valido solo se tiene conto delle condizioni economiche di entrambi i soggetti al momento della domanda di divorzio.</w:t>
      </w:r>
    </w:p>
    <w:p w:rsidR="00240677" w:rsidRDefault="00240677" w:rsidP="00B56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Ciò significa che affinché il giudice, in sede di divorzio, riconosca la corresponsione di un assegno (detto divorzile e finalizzato ad evitare il deterioramento delle condizioni del coniuge economicamente più debole) è necessario che ne sussistano </w:t>
      </w:r>
      <w:r w:rsidR="002B1D0E">
        <w:rPr>
          <w:rFonts w:ascii="Times New Roman" w:hAnsi="Times New Roman" w:cs="Times New Roman"/>
          <w:sz w:val="24"/>
          <w:szCs w:val="24"/>
        </w:rPr>
        <w:t>le condizioni.</w:t>
      </w:r>
    </w:p>
    <w:p w:rsidR="00240677" w:rsidRDefault="00240677" w:rsidP="00B566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Pertanto, nel caso in cui in sede di separazione i coniugi abbiano stipulato un accordo teso a regolare le condizioni economiche e patrimoniali di uno dei due in vista di un eventuale futuro divorzio, è necessario valutarne la validità.</w:t>
      </w:r>
      <w:bookmarkStart w:id="0" w:name="_GoBack"/>
      <w:bookmarkEnd w:id="0"/>
    </w:p>
    <w:p w:rsidR="00240677" w:rsidRDefault="00240677" w:rsidP="00B56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11B" w:rsidRPr="00F824EC" w:rsidRDefault="002A111B" w:rsidP="00B566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111B" w:rsidRPr="00F82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D1"/>
    <w:rsid w:val="000A6371"/>
    <w:rsid w:val="00240677"/>
    <w:rsid w:val="002A111B"/>
    <w:rsid w:val="002B1D0E"/>
    <w:rsid w:val="00315430"/>
    <w:rsid w:val="00366B70"/>
    <w:rsid w:val="003C4295"/>
    <w:rsid w:val="003F13D1"/>
    <w:rsid w:val="006853A3"/>
    <w:rsid w:val="006B1A2E"/>
    <w:rsid w:val="008E4A2D"/>
    <w:rsid w:val="009747BE"/>
    <w:rsid w:val="009D70A4"/>
    <w:rsid w:val="00AF4603"/>
    <w:rsid w:val="00B16982"/>
    <w:rsid w:val="00B5666F"/>
    <w:rsid w:val="00C27082"/>
    <w:rsid w:val="00C94060"/>
    <w:rsid w:val="00D32BD5"/>
    <w:rsid w:val="00F60153"/>
    <w:rsid w:val="00F8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251"/>
  <w15:chartTrackingRefBased/>
  <w15:docId w15:val="{915D7FA8-6361-47E2-8632-7ECE7F31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6371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A637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E4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Praticante 1</cp:lastModifiedBy>
  <cp:revision>3</cp:revision>
  <dcterms:created xsi:type="dcterms:W3CDTF">2017-02-28T18:22:00Z</dcterms:created>
  <dcterms:modified xsi:type="dcterms:W3CDTF">2017-02-28T18:45:00Z</dcterms:modified>
</cp:coreProperties>
</file>