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77" w:rsidRDefault="004543BB" w:rsidP="004543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RISARCI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ME</w:t>
      </w:r>
      <w:r w:rsidR="00287C77">
        <w:rPr>
          <w:rFonts w:ascii="Times New Roman" w:hAnsi="Times New Roman" w:cs="Times New Roman"/>
          <w:b/>
          <w:sz w:val="24"/>
          <w:szCs w:val="24"/>
        </w:rPr>
        <w:t>NTO DEL DANNO NON PATRIMONIALE</w:t>
      </w:r>
    </w:p>
    <w:p w:rsidR="004543BB" w:rsidRPr="00287C77" w:rsidRDefault="00287C77" w:rsidP="004543BB">
      <w:pPr>
        <w:rPr>
          <w:rFonts w:ascii="Times New Roman" w:hAnsi="Times New Roman" w:cs="Times New Roman"/>
          <w:sz w:val="24"/>
          <w:szCs w:val="24"/>
        </w:rPr>
      </w:pPr>
      <w:r w:rsidRPr="00287C77">
        <w:rPr>
          <w:rFonts w:ascii="Times New Roman" w:hAnsi="Times New Roman" w:cs="Times New Roman"/>
          <w:sz w:val="24"/>
          <w:szCs w:val="24"/>
        </w:rPr>
        <w:t>I</w:t>
      </w:r>
      <w:r w:rsidR="004543BB" w:rsidRPr="00287C77">
        <w:rPr>
          <w:rFonts w:ascii="Times New Roman" w:hAnsi="Times New Roman" w:cs="Times New Roman"/>
          <w:sz w:val="24"/>
          <w:szCs w:val="24"/>
        </w:rPr>
        <w:t>l genitore che tiene condotte ostacolanti il rapporto con il genitore non affidatario è tenuto al risarcimento del danno in favore del genitore e del figlio.</w:t>
      </w:r>
    </w:p>
    <w:p w:rsidR="00137DBC" w:rsidRPr="0082187C" w:rsidRDefault="00287C77" w:rsidP="004543BB">
      <w:pPr>
        <w:rPr>
          <w:rFonts w:ascii="Times New Roman" w:hAnsi="Times New Roman" w:cs="Times New Roman"/>
          <w:sz w:val="24"/>
          <w:szCs w:val="24"/>
        </w:rPr>
      </w:pPr>
      <w:hyperlink r:id="rId4" w:tooltip="Tribunale di Roma, sez. I, sentenza 11 ottobre 2016, n. 18799" w:history="1">
        <w:r w:rsidR="00137DBC" w:rsidRPr="0082187C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Tribunale di Roma, sez. I, sentenza 11 ottobre 2016, n. 18799</w:t>
        </w:r>
      </w:hyperlink>
    </w:p>
    <w:p w:rsidR="00137DBC" w:rsidRPr="004543BB" w:rsidRDefault="00137DBC" w:rsidP="004543BB">
      <w:pPr>
        <w:jc w:val="both"/>
        <w:rPr>
          <w:rFonts w:ascii="Times New Roman" w:hAnsi="Times New Roman" w:cs="Times New Roman"/>
          <w:sz w:val="24"/>
          <w:szCs w:val="24"/>
        </w:rPr>
      </w:pPr>
      <w:r w:rsidRPr="004543BB">
        <w:rPr>
          <w:rFonts w:ascii="Times New Roman" w:hAnsi="Times New Roman" w:cs="Times New Roman"/>
          <w:sz w:val="24"/>
          <w:szCs w:val="24"/>
        </w:rPr>
        <w:t>Il</w:t>
      </w:r>
      <w:r w:rsidR="00573099" w:rsidRPr="004543BB">
        <w:rPr>
          <w:rFonts w:ascii="Times New Roman" w:hAnsi="Times New Roman" w:cs="Times New Roman"/>
          <w:sz w:val="24"/>
          <w:szCs w:val="24"/>
        </w:rPr>
        <w:t xml:space="preserve"> Tribunal</w:t>
      </w:r>
      <w:r w:rsidRPr="004543BB">
        <w:rPr>
          <w:rFonts w:ascii="Times New Roman" w:hAnsi="Times New Roman" w:cs="Times New Roman"/>
          <w:sz w:val="24"/>
          <w:szCs w:val="24"/>
        </w:rPr>
        <w:t>e Civile di Roma ha disposto che qualora, a seguito di separazione giudizial</w:t>
      </w:r>
      <w:r w:rsidR="000A3316" w:rsidRPr="004543BB">
        <w:rPr>
          <w:rFonts w:ascii="Times New Roman" w:hAnsi="Times New Roman" w:cs="Times New Roman"/>
          <w:sz w:val="24"/>
          <w:szCs w:val="24"/>
        </w:rPr>
        <w:t xml:space="preserve">e, uno dei due genitori </w:t>
      </w:r>
      <w:r w:rsidR="00056561">
        <w:rPr>
          <w:rFonts w:ascii="Times New Roman" w:hAnsi="Times New Roman" w:cs="Times New Roman"/>
          <w:sz w:val="24"/>
          <w:szCs w:val="24"/>
        </w:rPr>
        <w:t xml:space="preserve">abbia </w:t>
      </w:r>
      <w:r w:rsidRPr="004543BB">
        <w:rPr>
          <w:rFonts w:ascii="Times New Roman" w:hAnsi="Times New Roman" w:cs="Times New Roman"/>
          <w:sz w:val="24"/>
          <w:szCs w:val="24"/>
        </w:rPr>
        <w:t>scredit</w:t>
      </w:r>
      <w:r w:rsidR="00056561">
        <w:rPr>
          <w:rFonts w:ascii="Times New Roman" w:hAnsi="Times New Roman" w:cs="Times New Roman"/>
          <w:sz w:val="24"/>
          <w:szCs w:val="24"/>
        </w:rPr>
        <w:t>ato</w:t>
      </w:r>
      <w:r w:rsidR="0082187C">
        <w:rPr>
          <w:rFonts w:ascii="Times New Roman" w:hAnsi="Times New Roman" w:cs="Times New Roman"/>
          <w:sz w:val="24"/>
          <w:szCs w:val="24"/>
        </w:rPr>
        <w:t xml:space="preserve"> e denigr</w:t>
      </w:r>
      <w:r w:rsidR="00056561">
        <w:rPr>
          <w:rFonts w:ascii="Times New Roman" w:hAnsi="Times New Roman" w:cs="Times New Roman"/>
          <w:sz w:val="24"/>
          <w:szCs w:val="24"/>
        </w:rPr>
        <w:t>ato</w:t>
      </w:r>
      <w:r w:rsidR="0082187C">
        <w:rPr>
          <w:rFonts w:ascii="Times New Roman" w:hAnsi="Times New Roman" w:cs="Times New Roman"/>
          <w:sz w:val="24"/>
          <w:szCs w:val="24"/>
        </w:rPr>
        <w:t>,</w:t>
      </w:r>
      <w:r w:rsidRPr="004543BB">
        <w:rPr>
          <w:rFonts w:ascii="Times New Roman" w:hAnsi="Times New Roman" w:cs="Times New Roman"/>
          <w:sz w:val="24"/>
          <w:szCs w:val="24"/>
        </w:rPr>
        <w:t xml:space="preserve"> ripetutamente</w:t>
      </w:r>
      <w:r w:rsidR="0082187C">
        <w:rPr>
          <w:rFonts w:ascii="Times New Roman" w:hAnsi="Times New Roman" w:cs="Times New Roman"/>
          <w:sz w:val="24"/>
          <w:szCs w:val="24"/>
        </w:rPr>
        <w:t>,</w:t>
      </w:r>
      <w:r w:rsidRPr="004543BB">
        <w:rPr>
          <w:rFonts w:ascii="Times New Roman" w:hAnsi="Times New Roman" w:cs="Times New Roman"/>
          <w:sz w:val="24"/>
          <w:szCs w:val="24"/>
        </w:rPr>
        <w:t xml:space="preserve"> l’altro agli occhi del figlio </w:t>
      </w:r>
      <w:r w:rsidR="00BE3F6D" w:rsidRPr="004543BB">
        <w:rPr>
          <w:rFonts w:ascii="Times New Roman" w:hAnsi="Times New Roman" w:cs="Times New Roman"/>
          <w:sz w:val="24"/>
          <w:szCs w:val="24"/>
        </w:rPr>
        <w:t xml:space="preserve">minore </w:t>
      </w:r>
      <w:r w:rsidRPr="004543BB">
        <w:rPr>
          <w:rFonts w:ascii="Times New Roman" w:hAnsi="Times New Roman" w:cs="Times New Roman"/>
          <w:sz w:val="24"/>
          <w:szCs w:val="24"/>
        </w:rPr>
        <w:t xml:space="preserve">è tenuto al risarcimento del danno </w:t>
      </w:r>
      <w:r w:rsidR="00AC1C69" w:rsidRPr="004543BB">
        <w:rPr>
          <w:rFonts w:ascii="Times New Roman" w:hAnsi="Times New Roman" w:cs="Times New Roman"/>
          <w:sz w:val="24"/>
          <w:szCs w:val="24"/>
        </w:rPr>
        <w:t xml:space="preserve">non patrimoniale tanto </w:t>
      </w:r>
      <w:r w:rsidRPr="004543BB">
        <w:rPr>
          <w:rFonts w:ascii="Times New Roman" w:hAnsi="Times New Roman" w:cs="Times New Roman"/>
          <w:sz w:val="24"/>
          <w:szCs w:val="24"/>
        </w:rPr>
        <w:t>nei co</w:t>
      </w:r>
      <w:r w:rsidR="00AC1C69" w:rsidRPr="004543BB">
        <w:rPr>
          <w:rFonts w:ascii="Times New Roman" w:hAnsi="Times New Roman" w:cs="Times New Roman"/>
          <w:sz w:val="24"/>
          <w:szCs w:val="24"/>
        </w:rPr>
        <w:t>nfronti del genitore screditato quanto nei confronti del figlio, privati entrambi dello sviluppo della relazione genitoriale.</w:t>
      </w:r>
    </w:p>
    <w:p w:rsidR="0082187C" w:rsidRDefault="0082187C" w:rsidP="004543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 condotta di tale genere mina </w:t>
      </w:r>
      <w:r w:rsidR="008E1EFA" w:rsidRPr="004543BB">
        <w:rPr>
          <w:rFonts w:ascii="Times New Roman" w:hAnsi="Times New Roman" w:cs="Times New Roman"/>
          <w:sz w:val="24"/>
          <w:szCs w:val="24"/>
        </w:rPr>
        <w:t>fortemen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 w:rsidR="0085461C" w:rsidRPr="004543BB">
        <w:rPr>
          <w:rFonts w:ascii="Times New Roman" w:hAnsi="Times New Roman" w:cs="Times New Roman"/>
          <w:sz w:val="24"/>
          <w:szCs w:val="24"/>
        </w:rPr>
        <w:t xml:space="preserve">non solo </w:t>
      </w:r>
      <w:r w:rsidR="008E1EFA" w:rsidRPr="004543BB">
        <w:rPr>
          <w:rFonts w:ascii="Times New Roman" w:hAnsi="Times New Roman" w:cs="Times New Roman"/>
          <w:sz w:val="24"/>
          <w:szCs w:val="24"/>
        </w:rPr>
        <w:t xml:space="preserve">la serenità del rapporto con l’altro genitore, </w:t>
      </w:r>
      <w:r w:rsidR="0085461C" w:rsidRPr="004543BB">
        <w:rPr>
          <w:rFonts w:ascii="Times New Roman" w:hAnsi="Times New Roman" w:cs="Times New Roman"/>
          <w:sz w:val="24"/>
          <w:szCs w:val="24"/>
        </w:rPr>
        <w:t xml:space="preserve">ma anche </w:t>
      </w:r>
      <w:r w:rsidR="001A383B" w:rsidRPr="004543BB">
        <w:rPr>
          <w:rFonts w:ascii="Times New Roman" w:hAnsi="Times New Roman" w:cs="Times New Roman"/>
          <w:sz w:val="24"/>
          <w:szCs w:val="24"/>
        </w:rPr>
        <w:t xml:space="preserve">la corretta crescita del minore e la sua stabilità psicologica ponendo in essere </w:t>
      </w:r>
      <w:r w:rsidR="00F66F3D">
        <w:rPr>
          <w:rFonts w:ascii="Times New Roman" w:hAnsi="Times New Roman" w:cs="Times New Roman"/>
          <w:sz w:val="24"/>
          <w:szCs w:val="24"/>
        </w:rPr>
        <w:t xml:space="preserve">quindi </w:t>
      </w:r>
      <w:r w:rsidR="0085461C" w:rsidRPr="004543BB">
        <w:rPr>
          <w:rFonts w:ascii="Times New Roman" w:hAnsi="Times New Roman" w:cs="Times New Roman"/>
          <w:sz w:val="24"/>
          <w:szCs w:val="24"/>
        </w:rPr>
        <w:t xml:space="preserve">due distinte lesioni: una lesione del diritto del genitore di continuare a svolgere i propri doveri genitoriali </w:t>
      </w:r>
      <w:r>
        <w:rPr>
          <w:rFonts w:ascii="Times New Roman" w:hAnsi="Times New Roman" w:cs="Times New Roman"/>
          <w:sz w:val="24"/>
          <w:szCs w:val="24"/>
        </w:rPr>
        <w:t xml:space="preserve">anche se lontano dal focolare domestico </w:t>
      </w:r>
      <w:r w:rsidR="0085461C" w:rsidRPr="004543BB">
        <w:rPr>
          <w:rFonts w:ascii="Times New Roman" w:hAnsi="Times New Roman" w:cs="Times New Roman"/>
          <w:sz w:val="24"/>
          <w:szCs w:val="24"/>
        </w:rPr>
        <w:t xml:space="preserve">e una lesione del diritto del bambino alla c.d. </w:t>
      </w:r>
      <w:proofErr w:type="spellStart"/>
      <w:r w:rsidR="0085461C" w:rsidRPr="004543BB">
        <w:rPr>
          <w:rFonts w:ascii="Times New Roman" w:hAnsi="Times New Roman" w:cs="Times New Roman"/>
          <w:sz w:val="24"/>
          <w:szCs w:val="24"/>
        </w:rPr>
        <w:t>bigenitorialità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E72E1" w:rsidRPr="004543BB" w:rsidRDefault="00056561" w:rsidP="004543B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Il giudice di merito</w:t>
      </w:r>
      <w:r w:rsidR="001A383B" w:rsidRPr="004543B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ha, infatti, </w:t>
      </w:r>
      <w:r w:rsidR="001A383B" w:rsidRPr="004543BB">
        <w:rPr>
          <w:rFonts w:ascii="Times New Roman" w:hAnsi="Times New Roman" w:cs="Times New Roman"/>
          <w:bCs/>
          <w:sz w:val="24"/>
          <w:szCs w:val="24"/>
        </w:rPr>
        <w:t>evidenzia</w:t>
      </w:r>
      <w:r>
        <w:rPr>
          <w:rFonts w:ascii="Times New Roman" w:hAnsi="Times New Roman" w:cs="Times New Roman"/>
          <w:bCs/>
          <w:sz w:val="24"/>
          <w:szCs w:val="24"/>
        </w:rPr>
        <w:t>to</w:t>
      </w:r>
      <w:r w:rsidR="001A383B" w:rsidRPr="004543BB">
        <w:rPr>
          <w:rFonts w:ascii="Times New Roman" w:hAnsi="Times New Roman" w:cs="Times New Roman"/>
          <w:bCs/>
          <w:sz w:val="24"/>
          <w:szCs w:val="24"/>
        </w:rPr>
        <w:t xml:space="preserve"> che i </w:t>
      </w:r>
      <w:r w:rsidR="00DE72E1" w:rsidRPr="004543BB">
        <w:rPr>
          <w:rFonts w:ascii="Times New Roman" w:hAnsi="Times New Roman" w:cs="Times New Roman"/>
          <w:bCs/>
          <w:sz w:val="24"/>
          <w:szCs w:val="24"/>
        </w:rPr>
        <w:t>figli – anche a seguito di separazione – hanno diritto alla continuità del rapporto con i genitori, i quali devono tenere comportamenti propositivi e positivi al fine di assicurare loro una</w:t>
      </w:r>
      <w:r w:rsidR="0082187C">
        <w:rPr>
          <w:rFonts w:ascii="Times New Roman" w:hAnsi="Times New Roman" w:cs="Times New Roman"/>
          <w:bCs/>
          <w:sz w:val="24"/>
          <w:szCs w:val="24"/>
        </w:rPr>
        <w:t xml:space="preserve"> crescita serena ed equilibrata</w:t>
      </w:r>
      <w:r>
        <w:rPr>
          <w:rFonts w:ascii="Times New Roman" w:hAnsi="Times New Roman" w:cs="Times New Roman"/>
          <w:bCs/>
          <w:sz w:val="24"/>
          <w:szCs w:val="24"/>
        </w:rPr>
        <w:t xml:space="preserve">, ed ha condannato il genitore irrispettoso dall’altra figura genitoriale </w:t>
      </w:r>
      <w:r w:rsidR="00DE72E1" w:rsidRPr="004543BB">
        <w:rPr>
          <w:rFonts w:ascii="Times New Roman" w:hAnsi="Times New Roman" w:cs="Times New Roman"/>
          <w:bCs/>
          <w:sz w:val="24"/>
          <w:szCs w:val="24"/>
        </w:rPr>
        <w:t>al risarcimento del danno non patrimoniale</w:t>
      </w:r>
      <w:r>
        <w:rPr>
          <w:rFonts w:ascii="Times New Roman" w:hAnsi="Times New Roman" w:cs="Times New Roman"/>
          <w:bCs/>
          <w:sz w:val="24"/>
          <w:szCs w:val="24"/>
        </w:rPr>
        <w:t xml:space="preserve"> tanto</w:t>
      </w:r>
      <w:r w:rsidR="00DE72E1" w:rsidRPr="004543BB">
        <w:rPr>
          <w:rFonts w:ascii="Times New Roman" w:hAnsi="Times New Roman" w:cs="Times New Roman"/>
          <w:bCs/>
          <w:sz w:val="24"/>
          <w:szCs w:val="24"/>
        </w:rPr>
        <w:t xml:space="preserve"> in favore del padre </w:t>
      </w:r>
      <w:r>
        <w:rPr>
          <w:rFonts w:ascii="Times New Roman" w:hAnsi="Times New Roman" w:cs="Times New Roman"/>
          <w:bCs/>
          <w:sz w:val="24"/>
          <w:szCs w:val="24"/>
        </w:rPr>
        <w:t>quanto</w:t>
      </w:r>
      <w:r w:rsidR="00DE72E1" w:rsidRPr="004543BB">
        <w:rPr>
          <w:rFonts w:ascii="Times New Roman" w:hAnsi="Times New Roman" w:cs="Times New Roman"/>
          <w:bCs/>
          <w:sz w:val="24"/>
          <w:szCs w:val="24"/>
        </w:rPr>
        <w:t xml:space="preserve"> del minore </w:t>
      </w:r>
      <w:r w:rsidR="004543BB" w:rsidRPr="004543BB">
        <w:rPr>
          <w:rFonts w:ascii="Times New Roman" w:hAnsi="Times New Roman" w:cs="Times New Roman"/>
          <w:bCs/>
          <w:sz w:val="24"/>
          <w:szCs w:val="24"/>
        </w:rPr>
        <w:t>condiviso.</w:t>
      </w:r>
    </w:p>
    <w:p w:rsidR="004C1A90" w:rsidRPr="00F66F3D" w:rsidRDefault="00287C77" w:rsidP="00F66F3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1A90" w:rsidRPr="00F66F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06"/>
    <w:rsid w:val="00056561"/>
    <w:rsid w:val="000A3316"/>
    <w:rsid w:val="00137DBC"/>
    <w:rsid w:val="00145C77"/>
    <w:rsid w:val="001A383B"/>
    <w:rsid w:val="00287C77"/>
    <w:rsid w:val="004543BB"/>
    <w:rsid w:val="0048396A"/>
    <w:rsid w:val="00573099"/>
    <w:rsid w:val="00765199"/>
    <w:rsid w:val="00767106"/>
    <w:rsid w:val="007C1E95"/>
    <w:rsid w:val="0082187C"/>
    <w:rsid w:val="0085461C"/>
    <w:rsid w:val="008E1EFA"/>
    <w:rsid w:val="008E5A07"/>
    <w:rsid w:val="00AC1C69"/>
    <w:rsid w:val="00BE3F6D"/>
    <w:rsid w:val="00D30E5B"/>
    <w:rsid w:val="00DE72E1"/>
    <w:rsid w:val="00F6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3C25D-E848-4EE4-80CD-80399FF8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730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quotidianogiuridico.it/%7E/media/Giuridico/2016/10/25/condannata-a-risarcire-il-danno-la-madre-che-denigra-l-altro-genitore-agli-occhi-del-figlio/roma30000%20pdf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Gennaro Del Core</cp:lastModifiedBy>
  <cp:revision>4</cp:revision>
  <dcterms:created xsi:type="dcterms:W3CDTF">2017-03-01T11:43:00Z</dcterms:created>
  <dcterms:modified xsi:type="dcterms:W3CDTF">2017-03-08T16:44:00Z</dcterms:modified>
</cp:coreProperties>
</file>